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442794" w14:textId="77777777" w:rsidR="003F4D20" w:rsidRDefault="004407CE">
      <w:pPr>
        <w:rPr>
          <w:b/>
          <w:bCs/>
        </w:rPr>
      </w:pPr>
      <w:r w:rsidRPr="00D30FBB">
        <w:rPr>
          <w:b/>
          <w:bCs/>
        </w:rPr>
        <w:t xml:space="preserve">Strengthening Ethical Procurement and Investment Policies to </w:t>
      </w:r>
      <w:r w:rsidR="00A31022" w:rsidRPr="00A31022">
        <w:rPr>
          <w:b/>
          <w:bCs/>
        </w:rPr>
        <w:t>A</w:t>
      </w:r>
      <w:r w:rsidRPr="00A31022">
        <w:rPr>
          <w:b/>
          <w:bCs/>
        </w:rPr>
        <w:t>ffirm</w:t>
      </w:r>
      <w:r w:rsidRPr="00D30FBB">
        <w:rPr>
          <w:b/>
          <w:bCs/>
        </w:rPr>
        <w:t xml:space="preserve"> </w:t>
      </w:r>
      <w:r w:rsidR="00D30FBB">
        <w:rPr>
          <w:b/>
          <w:bCs/>
        </w:rPr>
        <w:t>Peterborough</w:t>
      </w:r>
      <w:r w:rsidRPr="00D30FBB">
        <w:rPr>
          <w:b/>
          <w:bCs/>
        </w:rPr>
        <w:t xml:space="preserve"> City Council's Commitment to Human Rights and International Law</w:t>
      </w:r>
    </w:p>
    <w:p w14:paraId="4B578D55" w14:textId="77777777" w:rsidR="003F4D20" w:rsidRDefault="003F4D20">
      <w:pPr>
        <w:rPr>
          <w:b/>
          <w:bCs/>
        </w:rPr>
      </w:pPr>
      <w:r>
        <w:rPr>
          <w:b/>
          <w:bCs/>
        </w:rPr>
        <w:t>P</w:t>
      </w:r>
      <w:r w:rsidR="004407CE" w:rsidRPr="00D30FBB">
        <w:rPr>
          <w:b/>
          <w:bCs/>
        </w:rPr>
        <w:t>roposed by</w:t>
      </w:r>
      <w:r>
        <w:rPr>
          <w:b/>
          <w:bCs/>
        </w:rPr>
        <w:t>:</w:t>
      </w:r>
      <w:r w:rsidR="004407CE" w:rsidRPr="00D30FBB">
        <w:rPr>
          <w:b/>
          <w:bCs/>
        </w:rPr>
        <w:t xml:space="preserve"> Cllr </w:t>
      </w:r>
      <w:r w:rsidR="00D30FBB">
        <w:rPr>
          <w:b/>
          <w:bCs/>
        </w:rPr>
        <w:t>Imtiaz</w:t>
      </w:r>
      <w:r w:rsidR="004407CE" w:rsidRPr="00D30FBB">
        <w:rPr>
          <w:b/>
          <w:bCs/>
        </w:rPr>
        <w:t xml:space="preserve"> </w:t>
      </w:r>
      <w:r w:rsidR="00D30FBB">
        <w:rPr>
          <w:b/>
          <w:bCs/>
        </w:rPr>
        <w:t>Ali</w:t>
      </w:r>
    </w:p>
    <w:p w14:paraId="656900EF" w14:textId="660BBD90" w:rsidR="00D30FBB" w:rsidRPr="00D30FBB" w:rsidRDefault="004407CE">
      <w:pPr>
        <w:rPr>
          <w:b/>
          <w:bCs/>
        </w:rPr>
      </w:pPr>
      <w:r w:rsidRPr="00D30FBB">
        <w:rPr>
          <w:b/>
          <w:bCs/>
        </w:rPr>
        <w:t>Seconded by</w:t>
      </w:r>
      <w:r w:rsidR="003F4D20">
        <w:rPr>
          <w:b/>
          <w:bCs/>
        </w:rPr>
        <w:t>:</w:t>
      </w:r>
      <w:r w:rsidRPr="00D30FBB">
        <w:rPr>
          <w:b/>
          <w:bCs/>
        </w:rPr>
        <w:t xml:space="preserve"> Cllr </w:t>
      </w:r>
      <w:r w:rsidR="00DC6AB7">
        <w:rPr>
          <w:b/>
          <w:bCs/>
        </w:rPr>
        <w:t>Mohammed Jamil</w:t>
      </w:r>
    </w:p>
    <w:p w14:paraId="0F639E0F" w14:textId="400B6B51" w:rsidR="00D30FBB" w:rsidRPr="00D30FBB" w:rsidRDefault="00D30FBB">
      <w:pPr>
        <w:rPr>
          <w:b/>
          <w:bCs/>
        </w:rPr>
      </w:pPr>
    </w:p>
    <w:p w14:paraId="54FECC01" w14:textId="77777777" w:rsidR="00D30FBB" w:rsidRDefault="004407CE">
      <w:r w:rsidRPr="004407CE">
        <w:t>Council notes:</w:t>
      </w:r>
    </w:p>
    <w:p w14:paraId="4FC40D2D" w14:textId="1A85057C" w:rsidR="0041202E" w:rsidRPr="008D6353" w:rsidRDefault="00D30FBB" w:rsidP="00D30FBB">
      <w:pPr>
        <w:pStyle w:val="ListParagraph"/>
        <w:numPr>
          <w:ilvl w:val="0"/>
          <w:numId w:val="1"/>
        </w:numPr>
      </w:pPr>
      <w:r w:rsidRPr="008D6353">
        <w:t>Peterborough</w:t>
      </w:r>
      <w:r w:rsidR="004407CE" w:rsidRPr="008D6353">
        <w:t xml:space="preserve"> City Council’s commitment to human rights, equality and justice is long</w:t>
      </w:r>
      <w:r w:rsidR="00E23882" w:rsidRPr="008D6353">
        <w:t xml:space="preserve"> </w:t>
      </w:r>
      <w:r w:rsidR="004407CE" w:rsidRPr="008D6353">
        <w:t xml:space="preserve">standing. </w:t>
      </w:r>
      <w:r w:rsidR="008D0513" w:rsidRPr="008D6353">
        <w:t xml:space="preserve">We have </w:t>
      </w:r>
      <w:r w:rsidR="006A420D" w:rsidRPr="008D6353">
        <w:t>declared a “Climate Emergency” and have committed to becoming a Net Zero organisation by 2030</w:t>
      </w:r>
      <w:r w:rsidR="00305D2E" w:rsidRPr="008D6353">
        <w:rPr>
          <w:rStyle w:val="FootnoteReference"/>
        </w:rPr>
        <w:footnoteReference w:id="1"/>
      </w:r>
      <w:r w:rsidR="00EA1541" w:rsidRPr="008D6353">
        <w:t>.</w:t>
      </w:r>
      <w:r w:rsidR="006A420D" w:rsidRPr="008D6353">
        <w:t xml:space="preserve"> </w:t>
      </w:r>
      <w:r w:rsidR="004407CE" w:rsidRPr="008D6353">
        <w:t xml:space="preserve">We </w:t>
      </w:r>
      <w:r w:rsidR="008B7E36" w:rsidRPr="008D6353">
        <w:t xml:space="preserve">are currently in the process of </w:t>
      </w:r>
      <w:r w:rsidR="00A87A5C" w:rsidRPr="008D6353">
        <w:t>producing an Environmental, Social and Governance (“ESG”) policy</w:t>
      </w:r>
      <w:r w:rsidR="0041202E" w:rsidRPr="008D6353">
        <w:t xml:space="preserve"> within Treasury Management</w:t>
      </w:r>
      <w:r w:rsidR="0040481E" w:rsidRPr="008D6353">
        <w:t xml:space="preserve"> with the intention of including a summary of the </w:t>
      </w:r>
      <w:r w:rsidR="00F87FAD" w:rsidRPr="008D6353">
        <w:t xml:space="preserve">ESG </w:t>
      </w:r>
      <w:r w:rsidR="0040481E" w:rsidRPr="008D6353">
        <w:t xml:space="preserve">policy </w:t>
      </w:r>
      <w:r w:rsidR="00F87FAD" w:rsidRPr="008D6353">
        <w:t xml:space="preserve">within the annual Treasury Management Strategy document. </w:t>
      </w:r>
    </w:p>
    <w:p w14:paraId="0A7E05FA" w14:textId="3CB0AFC5" w:rsidR="002D0A42" w:rsidRDefault="004407CE" w:rsidP="00D30FBB">
      <w:pPr>
        <w:pStyle w:val="ListParagraph"/>
        <w:numPr>
          <w:ilvl w:val="0"/>
          <w:numId w:val="1"/>
        </w:numPr>
      </w:pPr>
      <w:r w:rsidRPr="004407CE">
        <w:t>We are committed to representing every resident in our international city, challenging inequalities</w:t>
      </w:r>
      <w:r w:rsidR="005C765A">
        <w:rPr>
          <w:rStyle w:val="FootnoteReference"/>
        </w:rPr>
        <w:footnoteReference w:id="2"/>
      </w:r>
      <w:r w:rsidRPr="004407CE">
        <w:t>, and upholding the fundamental rights and freedoms of all.</w:t>
      </w:r>
    </w:p>
    <w:p w14:paraId="3B1B89BF" w14:textId="2433CEC8" w:rsidR="002D0A42" w:rsidRDefault="004407CE" w:rsidP="002D0A42">
      <w:pPr>
        <w:pStyle w:val="ListParagraph"/>
        <w:numPr>
          <w:ilvl w:val="0"/>
          <w:numId w:val="1"/>
        </w:numPr>
      </w:pPr>
      <w:r w:rsidRPr="004407CE">
        <w:t>Over the past year, successive International Court of Justice (ICJ) rulings have underlined UN member states’ obligation to actively avoid complicity in Israel’s illegal occupation of Palestine and grave violations of human rights</w:t>
      </w:r>
      <w:r w:rsidR="00952A7B">
        <w:rPr>
          <w:rStyle w:val="FootnoteReference"/>
        </w:rPr>
        <w:footnoteReference w:id="3"/>
      </w:r>
      <w:r w:rsidRPr="004407CE">
        <w:t>, with UN experts warning that</w:t>
      </w:r>
      <w:r w:rsidR="002D0A42">
        <w:t xml:space="preserve"> </w:t>
      </w:r>
      <w:r w:rsidRPr="004407CE">
        <w:t>continued inaction “jeopardises the entire edifice of international law”</w:t>
      </w:r>
      <w:r w:rsidR="00072F08">
        <w:rPr>
          <w:rStyle w:val="FootnoteReference"/>
        </w:rPr>
        <w:footnoteReference w:id="4"/>
      </w:r>
      <w:r w:rsidRPr="004407CE">
        <w:t>.</w:t>
      </w:r>
    </w:p>
    <w:p w14:paraId="494E23CA" w14:textId="2022DD68" w:rsidR="002D0A42" w:rsidRDefault="004407CE" w:rsidP="002D0A42">
      <w:pPr>
        <w:pStyle w:val="ListParagraph"/>
        <w:numPr>
          <w:ilvl w:val="0"/>
          <w:numId w:val="1"/>
        </w:numPr>
      </w:pPr>
      <w:r w:rsidRPr="004407CE">
        <w:t>Under international law, the legal norms that apply to a state extend to local authorities</w:t>
      </w:r>
      <w:r w:rsidR="00F463D6">
        <w:rPr>
          <w:rStyle w:val="FootnoteReference"/>
        </w:rPr>
        <w:footnoteReference w:id="5"/>
      </w:r>
      <w:r w:rsidR="00B572BA">
        <w:t>.</w:t>
      </w:r>
    </w:p>
    <w:p w14:paraId="49808E47" w14:textId="0615E872" w:rsidR="00F049D3" w:rsidRDefault="00B65830" w:rsidP="002D0A42">
      <w:pPr>
        <w:pStyle w:val="ListParagraph"/>
        <w:numPr>
          <w:ilvl w:val="0"/>
          <w:numId w:val="1"/>
        </w:numPr>
      </w:pPr>
      <w:r>
        <w:lastRenderedPageBreak/>
        <w:t xml:space="preserve">A number of </w:t>
      </w:r>
      <w:r w:rsidR="001A35D7">
        <w:t xml:space="preserve">Local Government </w:t>
      </w:r>
      <w:r>
        <w:t>Pension Scheme</w:t>
      </w:r>
      <w:r w:rsidR="00593038">
        <w:t xml:space="preserve"> </w:t>
      </w:r>
      <w:r w:rsidR="003D7346">
        <w:t>(“LGPS”) fund</w:t>
      </w:r>
      <w:r>
        <w:t>s across the country have started the process of divesting their funds from companies complicit in Isr</w:t>
      </w:r>
      <w:r w:rsidR="00082186">
        <w:t xml:space="preserve">ael’s </w:t>
      </w:r>
      <w:r w:rsidR="00AF359E">
        <w:t>ongoing massacre of Palestinians,</w:t>
      </w:r>
      <w:r w:rsidR="00082186">
        <w:t xml:space="preserve"> apartheid and illegal occupation.</w:t>
      </w:r>
      <w:r w:rsidR="00082186">
        <w:rPr>
          <w:rStyle w:val="FootnoteReference"/>
        </w:rPr>
        <w:footnoteReference w:id="6"/>
      </w:r>
    </w:p>
    <w:p w14:paraId="4AB47CF7" w14:textId="75AC226A" w:rsidR="00F01BD6" w:rsidRPr="008D6353" w:rsidRDefault="00F01BD6" w:rsidP="002D0A42">
      <w:pPr>
        <w:pStyle w:val="ListParagraph"/>
        <w:numPr>
          <w:ilvl w:val="0"/>
          <w:numId w:val="1"/>
        </w:numPr>
      </w:pPr>
      <w:r w:rsidRPr="0031669C">
        <w:t xml:space="preserve">The UK government guidance: ‘Overseas Business Risk - The occupied Palestinian territory’ highlights the risks of companies conducting business with, </w:t>
      </w:r>
      <w:r w:rsidRPr="008D6353">
        <w:t xml:space="preserve">in or benefitting the </w:t>
      </w:r>
      <w:r w:rsidR="009D168F" w:rsidRPr="008D6353">
        <w:t xml:space="preserve">illegal </w:t>
      </w:r>
      <w:r w:rsidRPr="008D6353">
        <w:t>settlements</w:t>
      </w:r>
      <w:r w:rsidR="001855EC" w:rsidRPr="008D6353">
        <w:t xml:space="preserve"> in the Occupied Palestinian </w:t>
      </w:r>
      <w:r w:rsidR="006E694B" w:rsidRPr="008D6353">
        <w:t>Territories and</w:t>
      </w:r>
      <w:r w:rsidRPr="008D6353">
        <w:t xml:space="preserve"> makes it clear that government does not support such activity.</w:t>
      </w:r>
      <w:r w:rsidR="00872526" w:rsidRPr="008D6353">
        <w:rPr>
          <w:rStyle w:val="FootnoteReference"/>
        </w:rPr>
        <w:footnoteReference w:id="7"/>
      </w:r>
    </w:p>
    <w:p w14:paraId="713079D9" w14:textId="30A398E4" w:rsidR="002D0A42" w:rsidRPr="008D6353" w:rsidRDefault="004407CE" w:rsidP="002D0A42">
      <w:pPr>
        <w:pStyle w:val="ListParagraph"/>
        <w:numPr>
          <w:ilvl w:val="0"/>
          <w:numId w:val="1"/>
        </w:numPr>
      </w:pPr>
      <w:r w:rsidRPr="008D6353">
        <w:t xml:space="preserve">Council </w:t>
      </w:r>
      <w:r w:rsidR="00F1254D" w:rsidRPr="008D6353">
        <w:t xml:space="preserve">acted </w:t>
      </w:r>
      <w:r w:rsidR="00FD74F5" w:rsidRPr="008D6353">
        <w:t xml:space="preserve">swiftly following Russia’s </w:t>
      </w:r>
      <w:r w:rsidR="007F62D2" w:rsidRPr="008D6353">
        <w:t xml:space="preserve">attacks and invasion of Ukraine and </w:t>
      </w:r>
      <w:r w:rsidR="00F36C87" w:rsidRPr="008D6353">
        <w:t xml:space="preserve">its </w:t>
      </w:r>
      <w:r w:rsidR="00FD74F5" w:rsidRPr="008D6353">
        <w:t xml:space="preserve">violations of international law </w:t>
      </w:r>
      <w:r w:rsidR="006D194B" w:rsidRPr="008D6353">
        <w:t xml:space="preserve">to ascertain </w:t>
      </w:r>
      <w:r w:rsidR="00DD6B2F" w:rsidRPr="008D6353">
        <w:t>if</w:t>
      </w:r>
      <w:r w:rsidR="00A53354" w:rsidRPr="008D6353">
        <w:t xml:space="preserve"> there were </w:t>
      </w:r>
      <w:r w:rsidR="006D194B" w:rsidRPr="008D6353">
        <w:t>any financial links</w:t>
      </w:r>
      <w:r w:rsidR="00F36C87" w:rsidRPr="008D6353">
        <w:t xml:space="preserve"> </w:t>
      </w:r>
      <w:r w:rsidR="00A53354" w:rsidRPr="008D6353">
        <w:t>with Russia.</w:t>
      </w:r>
      <w:r w:rsidR="006D194B" w:rsidRPr="008D6353">
        <w:t xml:space="preserve"> The Cambridgeshire </w:t>
      </w:r>
      <w:r w:rsidR="001B49CA" w:rsidRPr="008D6353">
        <w:t xml:space="preserve">pension scheme </w:t>
      </w:r>
      <w:r w:rsidR="000C6CC0">
        <w:t xml:space="preserve">fund </w:t>
      </w:r>
      <w:r w:rsidR="0009146E" w:rsidRPr="008D6353">
        <w:t>also scanned and divested from assets connected with Russia</w:t>
      </w:r>
      <w:r w:rsidR="00E040FD" w:rsidRPr="008D6353">
        <w:rPr>
          <w:rStyle w:val="FootnoteReference"/>
        </w:rPr>
        <w:footnoteReference w:id="8"/>
      </w:r>
      <w:r w:rsidR="0009146E" w:rsidRPr="008D6353">
        <w:t xml:space="preserve">, and the government implemented sanctions ensuring business was </w:t>
      </w:r>
      <w:r w:rsidR="00D26EAB" w:rsidRPr="008D6353">
        <w:t xml:space="preserve">not </w:t>
      </w:r>
      <w:r w:rsidR="0009146E" w:rsidRPr="008D6353">
        <w:t>conducted with</w:t>
      </w:r>
      <w:r w:rsidR="00DE3D75" w:rsidRPr="008D6353">
        <w:t xml:space="preserve"> the country while it was in </w:t>
      </w:r>
      <w:r w:rsidRPr="008D6353">
        <w:t>violation of international law.</w:t>
      </w:r>
      <w:r w:rsidR="006E694B" w:rsidRPr="008D6353">
        <w:t xml:space="preserve"> </w:t>
      </w:r>
    </w:p>
    <w:p w14:paraId="2290E610" w14:textId="4706831A" w:rsidR="0074002D" w:rsidRPr="008D6353" w:rsidRDefault="0074002D" w:rsidP="002D0A42">
      <w:pPr>
        <w:pStyle w:val="ListParagraph"/>
        <w:numPr>
          <w:ilvl w:val="0"/>
          <w:numId w:val="1"/>
        </w:numPr>
      </w:pPr>
      <w:r w:rsidRPr="008D6353">
        <w:t>That the Cambrid</w:t>
      </w:r>
      <w:r w:rsidR="00514DE4" w:rsidRPr="008D6353">
        <w:t>g</w:t>
      </w:r>
      <w:r w:rsidRPr="008D6353">
        <w:t>eshire pension</w:t>
      </w:r>
      <w:r w:rsidR="00514DE4" w:rsidRPr="008D6353">
        <w:t xml:space="preserve"> fund currently </w:t>
      </w:r>
      <w:r w:rsidRPr="008D6353">
        <w:t>invests in a number of securities already identi</w:t>
      </w:r>
      <w:r w:rsidR="00CD4ACA" w:rsidRPr="008D6353">
        <w:t xml:space="preserve">fied as not complying with these strengthened ethical </w:t>
      </w:r>
      <w:r w:rsidR="00514DE4" w:rsidRPr="008D6353">
        <w:t>procurement and investment policies</w:t>
      </w:r>
      <w:r w:rsidR="000C1CA6" w:rsidRPr="008D6353">
        <w:rPr>
          <w:rStyle w:val="FootnoteReference"/>
        </w:rPr>
        <w:footnoteReference w:id="9"/>
      </w:r>
    </w:p>
    <w:p w14:paraId="79B3F17E" w14:textId="585EB056" w:rsidR="00E54A7D" w:rsidRDefault="00D917B2" w:rsidP="002D0A42">
      <w:pPr>
        <w:pStyle w:val="ListParagraph"/>
        <w:numPr>
          <w:ilvl w:val="0"/>
          <w:numId w:val="1"/>
        </w:numPr>
      </w:pPr>
      <w:r>
        <w:t xml:space="preserve">The </w:t>
      </w:r>
      <w:r w:rsidR="00E54A7D">
        <w:t>Amnesty International report on</w:t>
      </w:r>
      <w:r w:rsidR="00BF0308">
        <w:t xml:space="preserve"> </w:t>
      </w:r>
      <w:r w:rsidR="008A6B55">
        <w:t>the involvement of business enterprises in the commission of international crimes connected to Israel’s unlawful occupation</w:t>
      </w:r>
      <w:r w:rsidR="009C0263">
        <w:t>, racial segregation and apartheid regime in the Occupied Palestinian Territory</w:t>
      </w:r>
      <w:r w:rsidR="009C0263">
        <w:rPr>
          <w:rStyle w:val="FootnoteReference"/>
        </w:rPr>
        <w:footnoteReference w:id="10"/>
      </w:r>
      <w:r w:rsidR="0022283D">
        <w:t>, and the advice therein to companies</w:t>
      </w:r>
      <w:r w:rsidR="00075A92">
        <w:t xml:space="preserve"> in avoiding complicity with these international crimes.</w:t>
      </w:r>
    </w:p>
    <w:p w14:paraId="5200D2CB" w14:textId="77777777" w:rsidR="002D0A42" w:rsidRDefault="002D0A42" w:rsidP="002D0A42"/>
    <w:p w14:paraId="56CD9164" w14:textId="77777777" w:rsidR="002D0A42" w:rsidRDefault="004407CE" w:rsidP="002D0A42">
      <w:r w:rsidRPr="004407CE">
        <w:t>Council believes that:</w:t>
      </w:r>
    </w:p>
    <w:p w14:paraId="429BC0F6" w14:textId="4BAAF8F4" w:rsidR="002D0A42" w:rsidRDefault="004407CE" w:rsidP="002D0A42">
      <w:pPr>
        <w:pStyle w:val="ListParagraph"/>
        <w:numPr>
          <w:ilvl w:val="0"/>
          <w:numId w:val="2"/>
        </w:numPr>
      </w:pPr>
      <w:r w:rsidRPr="004407CE">
        <w:t xml:space="preserve">We have an ethical duty and legal obligation to avoid trade and investment relations and cooperation with entities that </w:t>
      </w:r>
      <w:r w:rsidR="00F21D99">
        <w:t>either commit directly, or</w:t>
      </w:r>
      <w:r w:rsidRPr="004407CE">
        <w:t xml:space="preserve"> aid </w:t>
      </w:r>
      <w:r w:rsidR="00F21D99">
        <w:t>and</w:t>
      </w:r>
      <w:r w:rsidRPr="004407CE">
        <w:t xml:space="preserve"> assist </w:t>
      </w:r>
      <w:r w:rsidR="00F21D99">
        <w:t xml:space="preserve">indirectly, </w:t>
      </w:r>
      <w:r w:rsidRPr="004407CE">
        <w:t>violations of international law.</w:t>
      </w:r>
      <w:r w:rsidR="00E064D7">
        <w:rPr>
          <w:rStyle w:val="FootnoteReference"/>
        </w:rPr>
        <w:footnoteReference w:id="11"/>
      </w:r>
    </w:p>
    <w:p w14:paraId="4BF2DBCD" w14:textId="05801F7C" w:rsidR="004407CE" w:rsidRDefault="004407CE" w:rsidP="002D0A42">
      <w:pPr>
        <w:pStyle w:val="ListParagraph"/>
        <w:numPr>
          <w:ilvl w:val="0"/>
          <w:numId w:val="2"/>
        </w:numPr>
      </w:pPr>
      <w:r w:rsidRPr="004407CE">
        <w:lastRenderedPageBreak/>
        <w:t xml:space="preserve">The </w:t>
      </w:r>
      <w:r w:rsidR="002D0A42">
        <w:t>Cambridgeshire</w:t>
      </w:r>
      <w:r w:rsidRPr="004407CE">
        <w:t xml:space="preserve"> Pension Fund—to which </w:t>
      </w:r>
      <w:r w:rsidR="00B47D55">
        <w:t>PC</w:t>
      </w:r>
      <w:r w:rsidRPr="004407CE">
        <w:t xml:space="preserve">C employees and </w:t>
      </w:r>
      <w:r w:rsidR="00D7104A">
        <w:t>Peterborough</w:t>
      </w:r>
      <w:r w:rsidRPr="004407CE">
        <w:t xml:space="preserve"> residents contribute—should adhere to similarly robust ethical standards, in line with its fiduciary duty towards scheme members and employers.</w:t>
      </w:r>
      <w:r w:rsidR="003967B1">
        <w:rPr>
          <w:rStyle w:val="FootnoteReference"/>
        </w:rPr>
        <w:footnoteReference w:id="12"/>
      </w:r>
    </w:p>
    <w:p w14:paraId="5FC88F8D" w14:textId="77777777" w:rsidR="002D0A42" w:rsidRDefault="004407CE">
      <w:r w:rsidRPr="004407CE">
        <w:t>Council resolves to:</w:t>
      </w:r>
    </w:p>
    <w:p w14:paraId="429CB71D" w14:textId="267CC5A0" w:rsidR="00FB5ED1" w:rsidRDefault="004407CE" w:rsidP="002D0A42">
      <w:pPr>
        <w:pStyle w:val="ListParagraph"/>
        <w:numPr>
          <w:ilvl w:val="0"/>
          <w:numId w:val="3"/>
        </w:numPr>
      </w:pPr>
      <w:r w:rsidRPr="004407CE">
        <w:t xml:space="preserve">Request that </w:t>
      </w:r>
      <w:r w:rsidRPr="008C1B33">
        <w:t xml:space="preserve">the </w:t>
      </w:r>
      <w:r w:rsidR="007A69AE">
        <w:t>C</w:t>
      </w:r>
      <w:r w:rsidRPr="008C1B33">
        <w:t xml:space="preserve">abinet </w:t>
      </w:r>
      <w:r w:rsidR="007A69AE">
        <w:t>M</w:t>
      </w:r>
      <w:r w:rsidRPr="008C1B33">
        <w:t xml:space="preserve">ember for </w:t>
      </w:r>
      <w:r w:rsidR="007A69AE">
        <w:t>F</w:t>
      </w:r>
      <w:r w:rsidRPr="008C1B33">
        <w:t xml:space="preserve">inance and </w:t>
      </w:r>
      <w:r w:rsidR="002D0A42" w:rsidRPr="008C1B33">
        <w:t xml:space="preserve">the </w:t>
      </w:r>
      <w:r w:rsidR="0037041C">
        <w:t>P</w:t>
      </w:r>
      <w:r w:rsidR="002D0A42" w:rsidRPr="008C1B33">
        <w:t xml:space="preserve">ension </w:t>
      </w:r>
      <w:r w:rsidR="00C74376">
        <w:t>F</w:t>
      </w:r>
      <w:r w:rsidR="002D0A42" w:rsidRPr="008C1B33">
        <w:t xml:space="preserve">und’s investment subcommittee </w:t>
      </w:r>
      <w:r w:rsidRPr="008C1B33">
        <w:t>st</w:t>
      </w:r>
      <w:r w:rsidRPr="004407CE">
        <w:t>rengthen our investment and procurement policies to incorporate, in line with applicable legislation, the UN Principles for Responsible Investment (UN PRI) and Guiding Principles on Business and Human Rights (UNGP</w:t>
      </w:r>
      <w:r w:rsidR="00866D0C" w:rsidRPr="004407CE">
        <w:t>).</w:t>
      </w:r>
    </w:p>
    <w:p w14:paraId="1A374E65" w14:textId="6A68C12F" w:rsidR="001C0516" w:rsidRDefault="00866D0C" w:rsidP="00364D4A">
      <w:pPr>
        <w:pStyle w:val="ListParagraph"/>
        <w:numPr>
          <w:ilvl w:val="0"/>
          <w:numId w:val="3"/>
        </w:numPr>
      </w:pPr>
      <w:r>
        <w:t>E</w:t>
      </w:r>
      <w:r w:rsidR="004407CE" w:rsidRPr="004407CE">
        <w:t>xplicitly preclude Council knowingly, indirectly or directly, investing in or trading with entities implicated in: - the production of weapons, weapon parts, or military equipment; - fossil fuel extraction, processing, or trade; - state violence and repression, war and occupation and/or grave violations of human rights as defined in international law (including war crimes, crimes against humanity, and genocide).</w:t>
      </w:r>
      <w:r w:rsidR="00066A0E">
        <w:rPr>
          <w:rStyle w:val="FootnoteReference"/>
        </w:rPr>
        <w:footnoteReference w:id="13"/>
      </w:r>
    </w:p>
    <w:p w14:paraId="32D0957E" w14:textId="551B8CC8" w:rsidR="00EC7E5C" w:rsidRDefault="004407CE" w:rsidP="002D0A42">
      <w:pPr>
        <w:pStyle w:val="ListParagraph"/>
        <w:numPr>
          <w:ilvl w:val="0"/>
          <w:numId w:val="3"/>
        </w:numPr>
      </w:pPr>
      <w:r w:rsidRPr="004407CE">
        <w:t xml:space="preserve">Request that the leader write a letter urging the </w:t>
      </w:r>
      <w:r w:rsidR="00EC7E5C">
        <w:t>Cambridgeshire</w:t>
      </w:r>
      <w:r w:rsidRPr="004407CE">
        <w:t xml:space="preserve"> Pension Fund Committee to work with </w:t>
      </w:r>
      <w:r w:rsidR="00EC7E5C">
        <w:t>ACCESS</w:t>
      </w:r>
      <w:r w:rsidR="00DC49E7">
        <w:rPr>
          <w:rStyle w:val="FootnoteReference"/>
        </w:rPr>
        <w:footnoteReference w:id="14"/>
      </w:r>
      <w:r w:rsidRPr="004407CE">
        <w:t xml:space="preserve"> to:</w:t>
      </w:r>
    </w:p>
    <w:p w14:paraId="3974CCA4" w14:textId="4D1DFCB4" w:rsidR="00B86D40" w:rsidRDefault="00B86D40" w:rsidP="00EC7E5C">
      <w:pPr>
        <w:pStyle w:val="ListParagraph"/>
        <w:numPr>
          <w:ilvl w:val="1"/>
          <w:numId w:val="3"/>
        </w:numPr>
      </w:pPr>
      <w:r w:rsidRPr="004407CE">
        <w:t>divest from current investee entities known to be involved in illegal occupation and grave violations of human rights</w:t>
      </w:r>
      <w:r w:rsidR="00083C79">
        <w:rPr>
          <w:rStyle w:val="FootnoteReference"/>
        </w:rPr>
        <w:footnoteReference w:id="15"/>
      </w:r>
      <w:r w:rsidRPr="004407CE">
        <w:t>;</w:t>
      </w:r>
    </w:p>
    <w:p w14:paraId="555F441C" w14:textId="1092C52E" w:rsidR="00EC7E5C" w:rsidRDefault="004407CE" w:rsidP="00EC7E5C">
      <w:pPr>
        <w:pStyle w:val="ListParagraph"/>
        <w:numPr>
          <w:ilvl w:val="1"/>
          <w:numId w:val="3"/>
        </w:numPr>
      </w:pPr>
      <w:r w:rsidRPr="004407CE">
        <w:t>extend existing investment exclusions</w:t>
      </w:r>
      <w:r w:rsidR="00567F79">
        <w:rPr>
          <w:rStyle w:val="FootnoteReference"/>
        </w:rPr>
        <w:footnoteReference w:id="16"/>
      </w:r>
      <w:r w:rsidR="0053120A">
        <w:t xml:space="preserve"> </w:t>
      </w:r>
      <w:r w:rsidRPr="004407CE">
        <w:t>and restrictions</w:t>
      </w:r>
      <w:r w:rsidR="00013A66">
        <w:rPr>
          <w:rStyle w:val="FootnoteReference"/>
        </w:rPr>
        <w:footnoteReference w:id="17"/>
      </w:r>
      <w:r w:rsidRPr="004407CE">
        <w:t xml:space="preserve"> to encompass the above-listed activities, anywhere in the world;</w:t>
      </w:r>
      <w:r w:rsidR="00966E18">
        <w:t xml:space="preserve"> and</w:t>
      </w:r>
    </w:p>
    <w:p w14:paraId="6486E936" w14:textId="77777777" w:rsidR="00EC7E5C" w:rsidRDefault="004407CE" w:rsidP="00EC7E5C">
      <w:pPr>
        <w:pStyle w:val="ListParagraph"/>
        <w:numPr>
          <w:ilvl w:val="1"/>
          <w:numId w:val="3"/>
        </w:numPr>
      </w:pPr>
      <w:r w:rsidRPr="004407CE">
        <w:lastRenderedPageBreak/>
        <w:t>commit to ensuring that all investee entities adopt and rigorously implement the UNGP, in addition to the UN Global Compact.</w:t>
      </w:r>
    </w:p>
    <w:p w14:paraId="4A90C28C" w14:textId="072958B5" w:rsidR="00EC7E5C" w:rsidRDefault="004407CE" w:rsidP="00EC7E5C">
      <w:pPr>
        <w:pStyle w:val="ListParagraph"/>
        <w:numPr>
          <w:ilvl w:val="0"/>
          <w:numId w:val="3"/>
        </w:numPr>
      </w:pPr>
      <w:r w:rsidRPr="004407CE">
        <w:t>Commit to retendering our banking contract (including accounts for our wholly owned companies</w:t>
      </w:r>
      <w:r w:rsidR="00C572DB">
        <w:t xml:space="preserve"> P-Ltd and PCHLL</w:t>
      </w:r>
      <w:r w:rsidRPr="004407CE">
        <w:t xml:space="preserve">) </w:t>
      </w:r>
      <w:r w:rsidR="0074451C">
        <w:t xml:space="preserve">with ethical banking organisations </w:t>
      </w:r>
      <w:r w:rsidRPr="004407CE">
        <w:t xml:space="preserve">as soon as </w:t>
      </w:r>
      <w:r w:rsidR="00774F6E">
        <w:t xml:space="preserve">is practically </w:t>
      </w:r>
      <w:r w:rsidRPr="004407CE">
        <w:t>possible.</w:t>
      </w:r>
      <w:r w:rsidR="009F1146">
        <w:rPr>
          <w:rStyle w:val="FootnoteReference"/>
        </w:rPr>
        <w:footnoteReference w:id="18"/>
      </w:r>
    </w:p>
    <w:p w14:paraId="2E8C66CF" w14:textId="01C88603" w:rsidR="004407CE" w:rsidRDefault="004407CE" w:rsidP="007759E1">
      <w:pPr>
        <w:pStyle w:val="ListParagraph"/>
        <w:numPr>
          <w:ilvl w:val="0"/>
          <w:numId w:val="3"/>
        </w:numPr>
      </w:pPr>
      <w:r w:rsidRPr="004407CE">
        <w:t>Ensure that Council implements the above policies and that these are operated and effective, once adopted.</w:t>
      </w:r>
      <w:r w:rsidR="00BF0A24">
        <w:rPr>
          <w:rStyle w:val="FootnoteReference"/>
        </w:rPr>
        <w:footnoteReference w:id="19"/>
      </w:r>
    </w:p>
    <w:p w14:paraId="0245EB7C" w14:textId="2F4709B9" w:rsidR="00AF6FBF" w:rsidRDefault="005B6123" w:rsidP="007759E1">
      <w:pPr>
        <w:pStyle w:val="ListParagraph"/>
        <w:numPr>
          <w:ilvl w:val="0"/>
          <w:numId w:val="3"/>
        </w:numPr>
      </w:pPr>
      <w:r>
        <w:t>Include</w:t>
      </w:r>
      <w:r w:rsidR="00B66F34" w:rsidRPr="004407CE">
        <w:t xml:space="preserve"> </w:t>
      </w:r>
      <w:r w:rsidR="00172BF1">
        <w:t>quarterly</w:t>
      </w:r>
      <w:r w:rsidR="00B66F34" w:rsidRPr="004407CE">
        <w:t xml:space="preserve"> monitor</w:t>
      </w:r>
      <w:r w:rsidR="008B00BC">
        <w:t xml:space="preserve">ing of the </w:t>
      </w:r>
      <w:r w:rsidR="00744756">
        <w:t>Cambridgeshire Pension S</w:t>
      </w:r>
      <w:r w:rsidR="008B00BC">
        <w:t>cheme</w:t>
      </w:r>
      <w:r w:rsidR="00AD1DD0">
        <w:t xml:space="preserve"> fund</w:t>
      </w:r>
      <w:r w:rsidR="008B00BC">
        <w:t>’s equity holdings at an appropriate gove</w:t>
      </w:r>
      <w:r w:rsidR="00172BF1">
        <w:t>r</w:t>
      </w:r>
      <w:r w:rsidR="008B00BC">
        <w:t xml:space="preserve">nance forum, potentially </w:t>
      </w:r>
      <w:r w:rsidR="00520AE8">
        <w:t>at</w:t>
      </w:r>
      <w:r w:rsidR="008B00BC">
        <w:t xml:space="preserve"> the </w:t>
      </w:r>
      <w:r w:rsidR="00694AC5">
        <w:t xml:space="preserve">Pension </w:t>
      </w:r>
      <w:r w:rsidR="002A45F3">
        <w:t>Committee’s</w:t>
      </w:r>
      <w:r w:rsidR="00694AC5">
        <w:t xml:space="preserve"> </w:t>
      </w:r>
      <w:r w:rsidR="008B00BC">
        <w:t>Investment Sub-committee, with a</w:t>
      </w:r>
      <w:r w:rsidR="00694AC5">
        <w:t xml:space="preserve">n update provided at either </w:t>
      </w:r>
      <w:r w:rsidR="00520AE8">
        <w:t xml:space="preserve">PCC </w:t>
      </w:r>
      <w:r w:rsidR="00694AC5">
        <w:t xml:space="preserve">Audit Committee, or </w:t>
      </w:r>
      <w:r w:rsidR="00520AE8">
        <w:t xml:space="preserve">included as </w:t>
      </w:r>
      <w:r w:rsidR="00694AC5">
        <w:t>a report to Full Council.</w:t>
      </w:r>
    </w:p>
    <w:p w14:paraId="73A97B80" w14:textId="77777777" w:rsidR="00AF6FBF" w:rsidRDefault="00AF6FBF">
      <w:r>
        <w:br w:type="page"/>
      </w:r>
    </w:p>
    <w:sectPr w:rsidR="00AF6FBF">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E47FC9" w14:textId="77777777" w:rsidR="003F380D" w:rsidRDefault="003F380D" w:rsidP="00305D2E">
      <w:pPr>
        <w:spacing w:after="0" w:line="240" w:lineRule="auto"/>
      </w:pPr>
      <w:r>
        <w:separator/>
      </w:r>
    </w:p>
  </w:endnote>
  <w:endnote w:type="continuationSeparator" w:id="0">
    <w:p w14:paraId="4F23CB58" w14:textId="77777777" w:rsidR="003F380D" w:rsidRDefault="003F380D" w:rsidP="00305D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897CAC" w14:textId="77777777" w:rsidR="003F380D" w:rsidRDefault="003F380D" w:rsidP="00305D2E">
      <w:pPr>
        <w:spacing w:after="0" w:line="240" w:lineRule="auto"/>
      </w:pPr>
      <w:r>
        <w:separator/>
      </w:r>
    </w:p>
  </w:footnote>
  <w:footnote w:type="continuationSeparator" w:id="0">
    <w:p w14:paraId="79DC31CF" w14:textId="77777777" w:rsidR="003F380D" w:rsidRDefault="003F380D" w:rsidP="00305D2E">
      <w:pPr>
        <w:spacing w:after="0" w:line="240" w:lineRule="auto"/>
      </w:pPr>
      <w:r>
        <w:continuationSeparator/>
      </w:r>
    </w:p>
  </w:footnote>
  <w:footnote w:id="1">
    <w:p w14:paraId="4A9902B4" w14:textId="02FD02F6" w:rsidR="00305D2E" w:rsidRDefault="00305D2E">
      <w:pPr>
        <w:pStyle w:val="FootnoteText"/>
      </w:pPr>
      <w:r w:rsidRPr="008D6353">
        <w:rPr>
          <w:rStyle w:val="FootnoteReference"/>
        </w:rPr>
        <w:footnoteRef/>
      </w:r>
      <w:r w:rsidRPr="008D6353">
        <w:t xml:space="preserve"> </w:t>
      </w:r>
      <w:r w:rsidR="00557CA7" w:rsidRPr="008D6353">
        <w:t xml:space="preserve">In 2019, we became one of the first UK local authorities to declare a climate emergency and committed to becoming a net zero carbon organisation by 2030. See </w:t>
      </w:r>
      <w:hyperlink r:id="rId1" w:history="1">
        <w:r w:rsidR="00557CA7" w:rsidRPr="008D6353">
          <w:rPr>
            <w:rStyle w:val="Hyperlink"/>
          </w:rPr>
          <w:t>https://www.peterborough.gov.uk/environment/climate-change</w:t>
        </w:r>
      </w:hyperlink>
    </w:p>
  </w:footnote>
  <w:footnote w:id="2">
    <w:p w14:paraId="2C1AA779" w14:textId="41BEB4E4" w:rsidR="005C765A" w:rsidRDefault="005C765A">
      <w:pPr>
        <w:pStyle w:val="FootnoteText"/>
      </w:pPr>
      <w:r>
        <w:rPr>
          <w:rStyle w:val="FootnoteReference"/>
        </w:rPr>
        <w:footnoteRef/>
      </w:r>
      <w:r>
        <w:t xml:space="preserve"> </w:t>
      </w:r>
      <w:r w:rsidR="00AF50AB">
        <w:t>As evidenced in our Equality and Diversity policies.</w:t>
      </w:r>
    </w:p>
  </w:footnote>
  <w:footnote w:id="3">
    <w:p w14:paraId="10C2B1ED" w14:textId="3199E55B" w:rsidR="00952A7B" w:rsidRDefault="00952A7B">
      <w:pPr>
        <w:pStyle w:val="FootnoteText"/>
      </w:pPr>
      <w:r>
        <w:rPr>
          <w:rStyle w:val="FootnoteReference"/>
        </w:rPr>
        <w:footnoteRef/>
      </w:r>
      <w:r>
        <w:t xml:space="preserve"> </w:t>
      </w:r>
      <w:r w:rsidR="0034134C" w:rsidRPr="004407CE">
        <w:t>On 19 July 2024, the International Court of Justice (ICJ) affirmed that: - Israel’s occupation of Palestine is illegal and must end as rapidly as possible; - Israel is violating fundamental principles of international law (including the Palestinian people’s right to self-determination, the prohibition of racial discrimination and apartheid, and the prohibition of the unlawful use of force); and - UN member states are under an obligation to take steps to prevent trade or investment relations that assist in the maintenance of Israel’s illegal occupation.</w:t>
      </w:r>
    </w:p>
  </w:footnote>
  <w:footnote w:id="4">
    <w:p w14:paraId="37E3B8A4" w14:textId="7FE98DAE" w:rsidR="00072F08" w:rsidRDefault="00072F08">
      <w:pPr>
        <w:pStyle w:val="FootnoteText"/>
      </w:pPr>
      <w:r>
        <w:rPr>
          <w:rStyle w:val="FootnoteReference"/>
        </w:rPr>
        <w:footnoteRef/>
      </w:r>
      <w:r>
        <w:t xml:space="preserve"> </w:t>
      </w:r>
      <w:r w:rsidR="00F463D6" w:rsidRPr="004407CE">
        <w:t xml:space="preserve">“UN experts warn international order on a knife’s edge, urge States to comply with ICJ Advisory Opinion” (18 September 2024). UN experts recall that the extreme destruction wrought by Israeli forces in Gaza, and increasingly throughout occupied Palestine, has prompted allegations of </w:t>
      </w:r>
      <w:proofErr w:type="spellStart"/>
      <w:r w:rsidR="00F463D6" w:rsidRPr="004407CE">
        <w:t>domicide</w:t>
      </w:r>
      <w:proofErr w:type="spellEnd"/>
      <w:r w:rsidR="00F463D6" w:rsidRPr="004407CE">
        <w:t xml:space="preserve">, </w:t>
      </w:r>
      <w:proofErr w:type="spellStart"/>
      <w:r w:rsidR="00F463D6" w:rsidRPr="004407CE">
        <w:t>urbicide</w:t>
      </w:r>
      <w:proofErr w:type="spellEnd"/>
      <w:r w:rsidR="00F463D6" w:rsidRPr="004407CE">
        <w:t xml:space="preserve">, </w:t>
      </w:r>
      <w:proofErr w:type="spellStart"/>
      <w:r w:rsidR="00F463D6" w:rsidRPr="004407CE">
        <w:t>scholasticide</w:t>
      </w:r>
      <w:proofErr w:type="spellEnd"/>
      <w:r w:rsidR="00F463D6" w:rsidRPr="004407CE">
        <w:t xml:space="preserve">, </w:t>
      </w:r>
      <w:proofErr w:type="spellStart"/>
      <w:r w:rsidR="00F463D6" w:rsidRPr="004407CE">
        <w:t>medicide</w:t>
      </w:r>
      <w:proofErr w:type="spellEnd"/>
      <w:r w:rsidR="00F463D6" w:rsidRPr="004407CE">
        <w:t xml:space="preserve"> and ecocide.</w:t>
      </w:r>
    </w:p>
  </w:footnote>
  <w:footnote w:id="5">
    <w:p w14:paraId="0ADDDD77" w14:textId="7FA94229" w:rsidR="00F463D6" w:rsidRDefault="00F463D6">
      <w:pPr>
        <w:pStyle w:val="FootnoteText"/>
      </w:pPr>
      <w:r>
        <w:rPr>
          <w:rStyle w:val="FootnoteReference"/>
        </w:rPr>
        <w:footnoteRef/>
      </w:r>
      <w:r>
        <w:t xml:space="preserve"> </w:t>
      </w:r>
      <w:r w:rsidR="00425AD1" w:rsidRPr="004407CE">
        <w:t xml:space="preserve">See HRC General comment No. 31: “The Nature of the General Legal Obligation Imposed on States Parties to the Covenant” (2004), para. 4 and “Harmonized guidelines on reporting under the international human rights treaties, including guidelines on a common core document and treaty-specific targeted documents,” HRI/MC/2005/3 (2005), para. 50. The UN Office of the High Commissioner of Human Rights and Human Rights Council have repeatedly emphasised local governments ’critical role in protecting and promoting universal human rights. For a recent example, see </w:t>
      </w:r>
      <w:hyperlink r:id="rId2" w:history="1">
        <w:r w:rsidR="00425AD1" w:rsidRPr="00F46D74">
          <w:rPr>
            <w:rStyle w:val="Hyperlink"/>
          </w:rPr>
          <w:t>https://docs.un.org/en/A/HRC/57/L.6</w:t>
        </w:r>
      </w:hyperlink>
    </w:p>
  </w:footnote>
  <w:footnote w:id="6">
    <w:p w14:paraId="405EA225" w14:textId="25738C2C" w:rsidR="00082186" w:rsidRDefault="00082186">
      <w:pPr>
        <w:pStyle w:val="FootnoteText"/>
      </w:pPr>
      <w:r>
        <w:rPr>
          <w:rStyle w:val="FootnoteReference"/>
        </w:rPr>
        <w:footnoteRef/>
      </w:r>
      <w:r>
        <w:t xml:space="preserve"> </w:t>
      </w:r>
      <w:r w:rsidR="00AE2481">
        <w:t xml:space="preserve">Nine </w:t>
      </w:r>
      <w:r w:rsidR="00A73116">
        <w:t>LGPS funds</w:t>
      </w:r>
      <w:r w:rsidR="00AE2481">
        <w:t xml:space="preserve"> have </w:t>
      </w:r>
      <w:r w:rsidR="003007E4">
        <w:t xml:space="preserve">had their councils </w:t>
      </w:r>
      <w:r w:rsidR="001470F8">
        <w:t>pass motions initiat</w:t>
      </w:r>
      <w:r w:rsidR="003007E4">
        <w:t>ing</w:t>
      </w:r>
      <w:r w:rsidR="001470F8">
        <w:t xml:space="preserve"> </w:t>
      </w:r>
      <w:r w:rsidR="00AE2481">
        <w:t>the</w:t>
      </w:r>
      <w:r w:rsidR="003007E4">
        <w:t>ir</w:t>
      </w:r>
      <w:r w:rsidR="00AE2481">
        <w:t xml:space="preserve"> divestment </w:t>
      </w:r>
      <w:r w:rsidR="00DB2AAC">
        <w:t>journeys</w:t>
      </w:r>
      <w:r w:rsidR="00FF0AB5">
        <w:t xml:space="preserve">, including </w:t>
      </w:r>
      <w:r w:rsidR="00FF40BA">
        <w:t>Lewisham, Manchest</w:t>
      </w:r>
      <w:r w:rsidR="003007E4">
        <w:t>er</w:t>
      </w:r>
      <w:r w:rsidR="00FF40BA">
        <w:t>, Tower Hamlets and Oxford City Council</w:t>
      </w:r>
    </w:p>
  </w:footnote>
  <w:footnote w:id="7">
    <w:p w14:paraId="6F5FE850" w14:textId="77492BBF" w:rsidR="00450F7E" w:rsidRDefault="00872526">
      <w:pPr>
        <w:pStyle w:val="FootnoteText"/>
      </w:pPr>
      <w:r>
        <w:rPr>
          <w:rStyle w:val="FootnoteReference"/>
        </w:rPr>
        <w:footnoteRef/>
      </w:r>
      <w:r>
        <w:t xml:space="preserve"> </w:t>
      </w:r>
      <w:r w:rsidR="00450F7E">
        <w:t>Government publication</w:t>
      </w:r>
      <w:r w:rsidRPr="00872526">
        <w:t xml:space="preserve">: </w:t>
      </w:r>
      <w:hyperlink r:id="rId3" w:history="1">
        <w:r w:rsidR="00450F7E" w:rsidRPr="005F7CB2">
          <w:rPr>
            <w:rStyle w:val="Hyperlink"/>
          </w:rPr>
          <w:t>https://www.gov.uk/government/publications/overseas-business-risk-palestinian-territories/overseas-business-risk-the-occupied-palestinian-territories</w:t>
        </w:r>
      </w:hyperlink>
    </w:p>
  </w:footnote>
  <w:footnote w:id="8">
    <w:p w14:paraId="1AFA40A6" w14:textId="02057888" w:rsidR="00E040FD" w:rsidRDefault="00E040FD">
      <w:pPr>
        <w:pStyle w:val="FootnoteText"/>
      </w:pPr>
      <w:r w:rsidRPr="008D6353">
        <w:rPr>
          <w:rStyle w:val="FootnoteReference"/>
        </w:rPr>
        <w:footnoteRef/>
      </w:r>
      <w:r w:rsidRPr="008D6353">
        <w:t xml:space="preserve"> </w:t>
      </w:r>
      <w:r w:rsidR="005A62C3" w:rsidRPr="008D6353">
        <w:t xml:space="preserve">The pension scheme applies an additional restriction, over and above those listed earlier, to ensure no </w:t>
      </w:r>
      <w:r w:rsidR="004E1B0F" w:rsidRPr="008D6353">
        <w:t>investments are made into Russian securities</w:t>
      </w:r>
    </w:p>
  </w:footnote>
  <w:footnote w:id="9">
    <w:p w14:paraId="5FE055C2" w14:textId="7AD16D64" w:rsidR="000C1CA6" w:rsidRDefault="000C1CA6">
      <w:pPr>
        <w:pStyle w:val="FootnoteText"/>
      </w:pPr>
      <w:r>
        <w:rPr>
          <w:rStyle w:val="FootnoteReference"/>
        </w:rPr>
        <w:footnoteRef/>
      </w:r>
      <w:r>
        <w:t xml:space="preserve"> See Appendix A for the list of</w:t>
      </w:r>
      <w:r w:rsidR="00F12A2F">
        <w:t xml:space="preserve"> securities held that do not comply with this ethical investment policy</w:t>
      </w:r>
    </w:p>
  </w:footnote>
  <w:footnote w:id="10">
    <w:p w14:paraId="4ECB7E36" w14:textId="31467E85" w:rsidR="005357C1" w:rsidRDefault="009C0263">
      <w:pPr>
        <w:pStyle w:val="FootnoteText"/>
      </w:pPr>
      <w:r>
        <w:rPr>
          <w:rStyle w:val="FootnoteReference"/>
        </w:rPr>
        <w:footnoteRef/>
      </w:r>
      <w:r>
        <w:t xml:space="preserve"> </w:t>
      </w:r>
      <w:hyperlink r:id="rId4" w:history="1">
        <w:r w:rsidR="005357C1" w:rsidRPr="00F46D74">
          <w:rPr>
            <w:rStyle w:val="Hyperlink"/>
          </w:rPr>
          <w:t>https://www.amnesty.org/en/wp-content/uploads/2024/12/IOR4088472024ENGLISH.pdf</w:t>
        </w:r>
      </w:hyperlink>
    </w:p>
  </w:footnote>
  <w:footnote w:id="11">
    <w:p w14:paraId="791D7EBB" w14:textId="3A3A19C5" w:rsidR="00E064D7" w:rsidRDefault="00E064D7">
      <w:pPr>
        <w:pStyle w:val="FootnoteText"/>
      </w:pPr>
      <w:r>
        <w:rPr>
          <w:rStyle w:val="FootnoteReference"/>
        </w:rPr>
        <w:footnoteRef/>
      </w:r>
      <w:r>
        <w:t xml:space="preserve"> </w:t>
      </w:r>
      <w:r w:rsidR="00EF0978" w:rsidRPr="004407CE">
        <w:t>This duty does not conflict with the Procurement Act 2023, which is now in force. Local authorities may exclude tenderers on grounds that insufficient regard for human rights obligations and responsibilities in areas of the world where a company conducts business constitutes ‘professional misconduct which brings into question the supplier’s integrity’ for the purpose of the Act, according to a recent legal opinion obtained by Amnesty International.</w:t>
      </w:r>
    </w:p>
  </w:footnote>
  <w:footnote w:id="12">
    <w:p w14:paraId="141E2AF9" w14:textId="0F1CD8CA" w:rsidR="003967B1" w:rsidRDefault="003967B1">
      <w:pPr>
        <w:pStyle w:val="FootnoteText"/>
      </w:pPr>
      <w:r>
        <w:rPr>
          <w:rStyle w:val="FootnoteReference"/>
        </w:rPr>
        <w:footnoteRef/>
      </w:r>
      <w:r>
        <w:t xml:space="preserve"> </w:t>
      </w:r>
      <w:r w:rsidR="0062473D">
        <w:t xml:space="preserve">The </w:t>
      </w:r>
      <w:r w:rsidR="0062473D" w:rsidRPr="005A0096">
        <w:t xml:space="preserve">Cambridgeshire Pension Fund’s Responsible Investment (RI) Policy states that </w:t>
      </w:r>
      <w:r w:rsidR="005A0096">
        <w:t>“</w:t>
      </w:r>
      <w:r w:rsidR="00F4163C" w:rsidRPr="005A0096">
        <w:t>…scrutiny is being applied to the stewardship of our assets with robust reporting on voting activity at companies we invest in and Environmental, Social and Governance investment concerns form a substantial part of investment</w:t>
      </w:r>
      <w:r w:rsidR="00CE5A44">
        <w:t>.</w:t>
      </w:r>
      <w:r w:rsidR="00DD2FC2">
        <w:t>”</w:t>
      </w:r>
      <w:r w:rsidR="00D30CD1" w:rsidRPr="005A0096">
        <w:t xml:space="preserve"> </w:t>
      </w:r>
    </w:p>
  </w:footnote>
  <w:footnote w:id="13">
    <w:p w14:paraId="789783F0" w14:textId="3CA3E1B5" w:rsidR="00066A0E" w:rsidRDefault="00066A0E">
      <w:pPr>
        <w:pStyle w:val="FootnoteText"/>
      </w:pPr>
      <w:r>
        <w:rPr>
          <w:rStyle w:val="FootnoteReference"/>
        </w:rPr>
        <w:footnoteRef/>
      </w:r>
      <w:r>
        <w:t xml:space="preserve"> </w:t>
      </w:r>
      <w:r w:rsidR="0084151D" w:rsidRPr="004407CE">
        <w:t xml:space="preserve">Genocide, crimes against humanity, war crimes and other serious violations of international law are defined in Articles 6 through 8 of the Rome Statute, which was incorporated into UK law through the International Criminal Court Act 2001. These articles include the crimes of apartheid, colonisation and severe damage to the natural environment. Complicit companies can be identified, inter alia, using the following databases: </w:t>
      </w:r>
      <w:r w:rsidR="00ED6DC9">
        <w:t>American Friends Service Committee’s (“</w:t>
      </w:r>
      <w:r w:rsidR="0084151D" w:rsidRPr="004407CE">
        <w:t>AFSC</w:t>
      </w:r>
      <w:r w:rsidR="00ED6DC9">
        <w:t>”)</w:t>
      </w:r>
      <w:r w:rsidR="0084151D" w:rsidRPr="004407CE">
        <w:t xml:space="preserve"> Investigate database, the Who Profits Research </w:t>
      </w:r>
      <w:r w:rsidR="001015E9" w:rsidRPr="004407CE">
        <w:t>Centre</w:t>
      </w:r>
      <w:r w:rsidR="0084151D" w:rsidRPr="004407CE">
        <w:t xml:space="preserve"> database, the </w:t>
      </w:r>
      <w:r w:rsidR="007C0496">
        <w:t>Office of the High Commissioner for Human Rights (“</w:t>
      </w:r>
      <w:r w:rsidR="0084151D" w:rsidRPr="004407CE">
        <w:t>OHCHR</w:t>
      </w:r>
      <w:r w:rsidR="007C0496">
        <w:t>”)</w:t>
      </w:r>
      <w:r w:rsidR="0084151D" w:rsidRPr="004407CE">
        <w:t xml:space="preserve"> database of business enterprises involved in illegal settlement activities and People &amp; Planet’s Border Divestment List.</w:t>
      </w:r>
    </w:p>
  </w:footnote>
  <w:footnote w:id="14">
    <w:p w14:paraId="36F48801" w14:textId="1C452E28" w:rsidR="00DC49E7" w:rsidRDefault="00DC49E7">
      <w:pPr>
        <w:pStyle w:val="FootnoteText"/>
      </w:pPr>
      <w:r>
        <w:rPr>
          <w:rStyle w:val="FootnoteReference"/>
        </w:rPr>
        <w:footnoteRef/>
      </w:r>
      <w:r>
        <w:t xml:space="preserve"> </w:t>
      </w:r>
      <w:r w:rsidR="00E83410" w:rsidRPr="00100E73">
        <w:t>ACCESS</w:t>
      </w:r>
      <w:r w:rsidR="0084236F" w:rsidRPr="00100E73">
        <w:t xml:space="preserve"> P</w:t>
      </w:r>
      <w:r w:rsidR="00C96BD8" w:rsidRPr="00100E73">
        <w:t>ool</w:t>
      </w:r>
      <w:r w:rsidR="0084236F" w:rsidRPr="00100E73">
        <w:t xml:space="preserve"> Partnership is </w:t>
      </w:r>
      <w:r w:rsidR="009A704D">
        <w:t>the pool that manages 11 LGPS</w:t>
      </w:r>
      <w:r w:rsidR="00A678AF">
        <w:t xml:space="preserve"> fund</w:t>
      </w:r>
      <w:r w:rsidR="00464D84">
        <w:t xml:space="preserve">s, including the </w:t>
      </w:r>
      <w:r w:rsidR="00C96BD8" w:rsidRPr="00100E73">
        <w:t>Cambridge</w:t>
      </w:r>
      <w:r w:rsidR="00464D84">
        <w:t>shire</w:t>
      </w:r>
      <w:r w:rsidR="0084236F" w:rsidRPr="00100E73">
        <w:t xml:space="preserve"> LGPS</w:t>
      </w:r>
      <w:r w:rsidR="00704AE9">
        <w:t xml:space="preserve"> fun</w:t>
      </w:r>
      <w:r w:rsidR="001E058D">
        <w:t>d</w:t>
      </w:r>
      <w:r w:rsidR="0084236F" w:rsidRPr="00100E73">
        <w:t>.</w:t>
      </w:r>
    </w:p>
  </w:footnote>
  <w:footnote w:id="15">
    <w:p w14:paraId="12746AC6" w14:textId="1C574CD8" w:rsidR="00083C79" w:rsidRDefault="00083C79">
      <w:pPr>
        <w:pStyle w:val="FootnoteText"/>
      </w:pPr>
      <w:r>
        <w:rPr>
          <w:rStyle w:val="FootnoteReference"/>
        </w:rPr>
        <w:footnoteRef/>
      </w:r>
      <w:r>
        <w:t xml:space="preserve"> </w:t>
      </w:r>
      <w:r w:rsidRPr="00445881">
        <w:t>The fund continues to hold substantial investments in companies complicit in illegal occupation and violations of international law, including arms companies supplying Israel with weapons and military technology; companies providing infrastructure for Israel’s unlawful military occupation of Palestinian land; companies conducting business activity in Israel’s illegal settlements on stolen Palestinian land; and companies providing financing to companies that are involved in said activities. These investments, total a market value of approximately £180m.</w:t>
      </w:r>
    </w:p>
  </w:footnote>
  <w:footnote w:id="16">
    <w:p w14:paraId="71DFAF6B" w14:textId="61A8FCCF" w:rsidR="00567F79" w:rsidRPr="008D6353" w:rsidRDefault="00567F79">
      <w:pPr>
        <w:pStyle w:val="FootnoteText"/>
      </w:pPr>
      <w:r>
        <w:rPr>
          <w:rStyle w:val="FootnoteReference"/>
        </w:rPr>
        <w:footnoteRef/>
      </w:r>
      <w:r>
        <w:t xml:space="preserve"> </w:t>
      </w:r>
      <w:r w:rsidR="00617ECD" w:rsidRPr="001015E9">
        <w:t>Cambridgeshire</w:t>
      </w:r>
      <w:r w:rsidR="00C03466" w:rsidRPr="001015E9">
        <w:t xml:space="preserve"> Pension Fund </w:t>
      </w:r>
      <w:r w:rsidR="004903BD" w:rsidRPr="001015E9">
        <w:t xml:space="preserve">has </w:t>
      </w:r>
      <w:r w:rsidR="00C03466" w:rsidRPr="001015E9">
        <w:t xml:space="preserve">already </w:t>
      </w:r>
      <w:r w:rsidR="00A5352F" w:rsidRPr="001015E9">
        <w:t xml:space="preserve">begun to transition into “Climate Aware Funds” that </w:t>
      </w:r>
      <w:r w:rsidR="00C03466" w:rsidRPr="001015E9">
        <w:t xml:space="preserve">operate </w:t>
      </w:r>
      <w:r w:rsidR="00C03466" w:rsidRPr="008D6353">
        <w:t>specific activity-based exclusions for oil-sands extraction; thermal coal extraction; and the manufacture of controversial weapons where there is a risk of severe, systemic, and structural violations of international human rights norms</w:t>
      </w:r>
      <w:r w:rsidR="00830C49" w:rsidRPr="008D6353">
        <w:t xml:space="preserve"> (UNGC violators)</w:t>
      </w:r>
      <w:r w:rsidR="00C03466" w:rsidRPr="008D6353">
        <w:t>.</w:t>
      </w:r>
    </w:p>
  </w:footnote>
  <w:footnote w:id="17">
    <w:p w14:paraId="2CF17676" w14:textId="0E66D681" w:rsidR="00013A66" w:rsidRDefault="00013A66">
      <w:pPr>
        <w:pStyle w:val="FootnoteText"/>
      </w:pPr>
      <w:r w:rsidRPr="008D6353">
        <w:rPr>
          <w:rStyle w:val="FootnoteReference"/>
        </w:rPr>
        <w:footnoteRef/>
      </w:r>
      <w:r w:rsidRPr="008D6353">
        <w:t xml:space="preserve"> </w:t>
      </w:r>
      <w:r w:rsidR="00A03DFB" w:rsidRPr="008D6353">
        <w:t>Cambridgeshire</w:t>
      </w:r>
      <w:r w:rsidR="0089777D" w:rsidRPr="008D6353">
        <w:t xml:space="preserve"> Pension Fund swiftly acted to end Russian investments following Russia’s invasion of Ukraine in 2022.</w:t>
      </w:r>
    </w:p>
  </w:footnote>
  <w:footnote w:id="18">
    <w:p w14:paraId="48D6DA36" w14:textId="26A1330B" w:rsidR="009F1146" w:rsidRDefault="009F1146">
      <w:pPr>
        <w:pStyle w:val="FootnoteText"/>
      </w:pPr>
      <w:r>
        <w:rPr>
          <w:rStyle w:val="FootnoteReference"/>
        </w:rPr>
        <w:footnoteRef/>
      </w:r>
      <w:r>
        <w:t xml:space="preserve"> </w:t>
      </w:r>
      <w:r w:rsidRPr="009E61FE">
        <w:t>Council’s current banking provider, Barclays, remains the number one fossil fuel funder in Europe, raising tens of billions in finance for oil and gas companies; and has provided investment, loans and other financial services to companies providing weapons, components and military technology used by Israel in its attacks on Palestinians and their land.</w:t>
      </w:r>
    </w:p>
  </w:footnote>
  <w:footnote w:id="19">
    <w:p w14:paraId="6AD0544C" w14:textId="0E85ED32" w:rsidR="00BF0A24" w:rsidRDefault="00BF0A24">
      <w:pPr>
        <w:pStyle w:val="FootnoteText"/>
      </w:pPr>
      <w:r>
        <w:rPr>
          <w:rStyle w:val="FootnoteReference"/>
        </w:rPr>
        <w:footnoteRef/>
      </w:r>
      <w:r>
        <w:t xml:space="preserve"> </w:t>
      </w:r>
      <w:r w:rsidR="00023309" w:rsidRPr="004407CE">
        <w:t xml:space="preserve">In particular, we ask Financial Services to ensure that the activities listed in the </w:t>
      </w:r>
      <w:r w:rsidR="00534385">
        <w:t>second</w:t>
      </w:r>
      <w:r w:rsidR="00023309" w:rsidRPr="004407CE">
        <w:t xml:space="preserve"> resolve are included in ESG indicators relating to Treasury counterparties, to engage with multi asset and money market fund managers on an ongoing basis to avoid indirect investment exposure and to reinvest where funds’ compliance with strengthened policies are incomplete or unclear. We further ask Procurement to integrate ethical considerations into the procurement process and exclude companies involved in the activities listed in the </w:t>
      </w:r>
      <w:r w:rsidR="00534385">
        <w:t>second</w:t>
      </w:r>
      <w:r w:rsidR="00023309" w:rsidRPr="004407CE">
        <w:t xml:space="preserve"> resolve.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FE4714"/>
    <w:multiLevelType w:val="hybridMultilevel"/>
    <w:tmpl w:val="20F01F3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F1419C0"/>
    <w:multiLevelType w:val="hybridMultilevel"/>
    <w:tmpl w:val="3DC2BD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F7D722B"/>
    <w:multiLevelType w:val="hybridMultilevel"/>
    <w:tmpl w:val="3AF649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46712917">
    <w:abstractNumId w:val="2"/>
  </w:num>
  <w:num w:numId="2" w16cid:durableId="226500007">
    <w:abstractNumId w:val="1"/>
  </w:num>
  <w:num w:numId="3" w16cid:durableId="15208505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07CE"/>
    <w:rsid w:val="00011891"/>
    <w:rsid w:val="00013A66"/>
    <w:rsid w:val="00023309"/>
    <w:rsid w:val="00030826"/>
    <w:rsid w:val="00062402"/>
    <w:rsid w:val="00066A0E"/>
    <w:rsid w:val="00072F08"/>
    <w:rsid w:val="00075A92"/>
    <w:rsid w:val="00081939"/>
    <w:rsid w:val="00082186"/>
    <w:rsid w:val="00083C79"/>
    <w:rsid w:val="0009146E"/>
    <w:rsid w:val="000C1CA6"/>
    <w:rsid w:val="000C6CC0"/>
    <w:rsid w:val="000E26D9"/>
    <w:rsid w:val="000E5817"/>
    <w:rsid w:val="000E7C40"/>
    <w:rsid w:val="000F70E7"/>
    <w:rsid w:val="00100E73"/>
    <w:rsid w:val="001015E9"/>
    <w:rsid w:val="00105E01"/>
    <w:rsid w:val="00123FD3"/>
    <w:rsid w:val="001470F8"/>
    <w:rsid w:val="00172BF1"/>
    <w:rsid w:val="001855EC"/>
    <w:rsid w:val="001A35D7"/>
    <w:rsid w:val="001B49CA"/>
    <w:rsid w:val="001C0516"/>
    <w:rsid w:val="001E058D"/>
    <w:rsid w:val="001E3A52"/>
    <w:rsid w:val="001F3E66"/>
    <w:rsid w:val="0022283D"/>
    <w:rsid w:val="00224FAC"/>
    <w:rsid w:val="002260AB"/>
    <w:rsid w:val="002401B7"/>
    <w:rsid w:val="00247305"/>
    <w:rsid w:val="002549AB"/>
    <w:rsid w:val="00260792"/>
    <w:rsid w:val="00277A04"/>
    <w:rsid w:val="00284F84"/>
    <w:rsid w:val="002A0860"/>
    <w:rsid w:val="002A45F3"/>
    <w:rsid w:val="002D0A42"/>
    <w:rsid w:val="002D37AC"/>
    <w:rsid w:val="002E2555"/>
    <w:rsid w:val="002E6788"/>
    <w:rsid w:val="003007E4"/>
    <w:rsid w:val="00305D2E"/>
    <w:rsid w:val="00314CED"/>
    <w:rsid w:val="0031669C"/>
    <w:rsid w:val="0034134C"/>
    <w:rsid w:val="00346820"/>
    <w:rsid w:val="00363BB5"/>
    <w:rsid w:val="00364D4A"/>
    <w:rsid w:val="0037041C"/>
    <w:rsid w:val="003967B1"/>
    <w:rsid w:val="003D1FCD"/>
    <w:rsid w:val="003D7346"/>
    <w:rsid w:val="003F1B17"/>
    <w:rsid w:val="003F380D"/>
    <w:rsid w:val="003F4D20"/>
    <w:rsid w:val="0040481E"/>
    <w:rsid w:val="0041202E"/>
    <w:rsid w:val="00425AD1"/>
    <w:rsid w:val="004407CE"/>
    <w:rsid w:val="00444F95"/>
    <w:rsid w:val="00445881"/>
    <w:rsid w:val="00450F7E"/>
    <w:rsid w:val="00464D84"/>
    <w:rsid w:val="0047154F"/>
    <w:rsid w:val="00477525"/>
    <w:rsid w:val="00487E43"/>
    <w:rsid w:val="004903BD"/>
    <w:rsid w:val="004A07F8"/>
    <w:rsid w:val="004D2ECD"/>
    <w:rsid w:val="004E14D3"/>
    <w:rsid w:val="004E1B0F"/>
    <w:rsid w:val="004F7D0F"/>
    <w:rsid w:val="00514DE4"/>
    <w:rsid w:val="00515E11"/>
    <w:rsid w:val="00520AE8"/>
    <w:rsid w:val="0052385E"/>
    <w:rsid w:val="0053120A"/>
    <w:rsid w:val="00534385"/>
    <w:rsid w:val="0053442E"/>
    <w:rsid w:val="005357C1"/>
    <w:rsid w:val="00556770"/>
    <w:rsid w:val="00557CA7"/>
    <w:rsid w:val="00567F79"/>
    <w:rsid w:val="00590088"/>
    <w:rsid w:val="00593038"/>
    <w:rsid w:val="005A0096"/>
    <w:rsid w:val="005A62C3"/>
    <w:rsid w:val="005B6123"/>
    <w:rsid w:val="005C765A"/>
    <w:rsid w:val="005E150B"/>
    <w:rsid w:val="00617ECD"/>
    <w:rsid w:val="006202FC"/>
    <w:rsid w:val="0062473D"/>
    <w:rsid w:val="00626759"/>
    <w:rsid w:val="006510AB"/>
    <w:rsid w:val="00662C90"/>
    <w:rsid w:val="0068687C"/>
    <w:rsid w:val="00694AC5"/>
    <w:rsid w:val="006A420D"/>
    <w:rsid w:val="006D02B2"/>
    <w:rsid w:val="006D194B"/>
    <w:rsid w:val="006E694B"/>
    <w:rsid w:val="006E7F4A"/>
    <w:rsid w:val="006F4355"/>
    <w:rsid w:val="00701D20"/>
    <w:rsid w:val="00704AE9"/>
    <w:rsid w:val="0074002D"/>
    <w:rsid w:val="0074451C"/>
    <w:rsid w:val="00744756"/>
    <w:rsid w:val="00747746"/>
    <w:rsid w:val="00774F6E"/>
    <w:rsid w:val="007759E1"/>
    <w:rsid w:val="00793CE9"/>
    <w:rsid w:val="007A1AB6"/>
    <w:rsid w:val="007A22D2"/>
    <w:rsid w:val="007A69AE"/>
    <w:rsid w:val="007C0496"/>
    <w:rsid w:val="007E2845"/>
    <w:rsid w:val="007F33E2"/>
    <w:rsid w:val="007F62D2"/>
    <w:rsid w:val="00812B14"/>
    <w:rsid w:val="00817446"/>
    <w:rsid w:val="008278CC"/>
    <w:rsid w:val="00830C49"/>
    <w:rsid w:val="0084151D"/>
    <w:rsid w:val="0084236F"/>
    <w:rsid w:val="00853FA9"/>
    <w:rsid w:val="00862A3E"/>
    <w:rsid w:val="00866D0C"/>
    <w:rsid w:val="00872526"/>
    <w:rsid w:val="008732BD"/>
    <w:rsid w:val="0088201D"/>
    <w:rsid w:val="00882B72"/>
    <w:rsid w:val="00894F77"/>
    <w:rsid w:val="0089777D"/>
    <w:rsid w:val="008A6B55"/>
    <w:rsid w:val="008B00BC"/>
    <w:rsid w:val="008B6608"/>
    <w:rsid w:val="008B7D27"/>
    <w:rsid w:val="008B7E36"/>
    <w:rsid w:val="008C1B33"/>
    <w:rsid w:val="008C1D69"/>
    <w:rsid w:val="008D0513"/>
    <w:rsid w:val="008D6353"/>
    <w:rsid w:val="008F6F0A"/>
    <w:rsid w:val="00915DAD"/>
    <w:rsid w:val="00941A62"/>
    <w:rsid w:val="00952A7B"/>
    <w:rsid w:val="00956272"/>
    <w:rsid w:val="00966E18"/>
    <w:rsid w:val="0099428A"/>
    <w:rsid w:val="009947A9"/>
    <w:rsid w:val="009A704D"/>
    <w:rsid w:val="009C0263"/>
    <w:rsid w:val="009D168F"/>
    <w:rsid w:val="009E61FE"/>
    <w:rsid w:val="009F1146"/>
    <w:rsid w:val="009F5294"/>
    <w:rsid w:val="00A00BA8"/>
    <w:rsid w:val="00A03DFB"/>
    <w:rsid w:val="00A056B8"/>
    <w:rsid w:val="00A31022"/>
    <w:rsid w:val="00A423EB"/>
    <w:rsid w:val="00A42C41"/>
    <w:rsid w:val="00A53354"/>
    <w:rsid w:val="00A5352F"/>
    <w:rsid w:val="00A678AF"/>
    <w:rsid w:val="00A73116"/>
    <w:rsid w:val="00A87A5C"/>
    <w:rsid w:val="00AA7932"/>
    <w:rsid w:val="00AD1DD0"/>
    <w:rsid w:val="00AE2481"/>
    <w:rsid w:val="00AE412F"/>
    <w:rsid w:val="00AE5576"/>
    <w:rsid w:val="00AF359E"/>
    <w:rsid w:val="00AF494A"/>
    <w:rsid w:val="00AF50AB"/>
    <w:rsid w:val="00AF6FBF"/>
    <w:rsid w:val="00B025E0"/>
    <w:rsid w:val="00B46817"/>
    <w:rsid w:val="00B47D55"/>
    <w:rsid w:val="00B56569"/>
    <w:rsid w:val="00B572BA"/>
    <w:rsid w:val="00B65830"/>
    <w:rsid w:val="00B66F34"/>
    <w:rsid w:val="00B67AC1"/>
    <w:rsid w:val="00B765BD"/>
    <w:rsid w:val="00B86D40"/>
    <w:rsid w:val="00BA7665"/>
    <w:rsid w:val="00BC2247"/>
    <w:rsid w:val="00BF0308"/>
    <w:rsid w:val="00BF0A24"/>
    <w:rsid w:val="00C00F77"/>
    <w:rsid w:val="00C03466"/>
    <w:rsid w:val="00C170A5"/>
    <w:rsid w:val="00C21C7D"/>
    <w:rsid w:val="00C275FE"/>
    <w:rsid w:val="00C36745"/>
    <w:rsid w:val="00C36AE2"/>
    <w:rsid w:val="00C570D1"/>
    <w:rsid w:val="00C572DB"/>
    <w:rsid w:val="00C74376"/>
    <w:rsid w:val="00C75C6C"/>
    <w:rsid w:val="00C905F8"/>
    <w:rsid w:val="00C933B7"/>
    <w:rsid w:val="00C96BD8"/>
    <w:rsid w:val="00CD4ACA"/>
    <w:rsid w:val="00CE14C8"/>
    <w:rsid w:val="00CE5A44"/>
    <w:rsid w:val="00D26EAB"/>
    <w:rsid w:val="00D30CD1"/>
    <w:rsid w:val="00D30FBB"/>
    <w:rsid w:val="00D362EB"/>
    <w:rsid w:val="00D4567D"/>
    <w:rsid w:val="00D7072B"/>
    <w:rsid w:val="00D7104A"/>
    <w:rsid w:val="00D917B2"/>
    <w:rsid w:val="00D9668D"/>
    <w:rsid w:val="00DA1AE1"/>
    <w:rsid w:val="00DB2AAC"/>
    <w:rsid w:val="00DC3B1D"/>
    <w:rsid w:val="00DC49E7"/>
    <w:rsid w:val="00DC6AB7"/>
    <w:rsid w:val="00DD2FC2"/>
    <w:rsid w:val="00DD6B2F"/>
    <w:rsid w:val="00DE3D41"/>
    <w:rsid w:val="00DE3D75"/>
    <w:rsid w:val="00DE4DB4"/>
    <w:rsid w:val="00E040FD"/>
    <w:rsid w:val="00E061E1"/>
    <w:rsid w:val="00E064D7"/>
    <w:rsid w:val="00E13E20"/>
    <w:rsid w:val="00E23882"/>
    <w:rsid w:val="00E360A8"/>
    <w:rsid w:val="00E45F25"/>
    <w:rsid w:val="00E54A7D"/>
    <w:rsid w:val="00E608D7"/>
    <w:rsid w:val="00E83410"/>
    <w:rsid w:val="00E85ADD"/>
    <w:rsid w:val="00EA1541"/>
    <w:rsid w:val="00EA193B"/>
    <w:rsid w:val="00EA753D"/>
    <w:rsid w:val="00EB3690"/>
    <w:rsid w:val="00EC4BF4"/>
    <w:rsid w:val="00EC670A"/>
    <w:rsid w:val="00EC7E5C"/>
    <w:rsid w:val="00ED6DC9"/>
    <w:rsid w:val="00EF0978"/>
    <w:rsid w:val="00EF78E3"/>
    <w:rsid w:val="00F017FE"/>
    <w:rsid w:val="00F01BD6"/>
    <w:rsid w:val="00F049D3"/>
    <w:rsid w:val="00F1254D"/>
    <w:rsid w:val="00F12A2F"/>
    <w:rsid w:val="00F21D99"/>
    <w:rsid w:val="00F36C87"/>
    <w:rsid w:val="00F4163C"/>
    <w:rsid w:val="00F45F0C"/>
    <w:rsid w:val="00F463D6"/>
    <w:rsid w:val="00F60A9D"/>
    <w:rsid w:val="00F622CD"/>
    <w:rsid w:val="00F87FAD"/>
    <w:rsid w:val="00FB19A4"/>
    <w:rsid w:val="00FB5ED1"/>
    <w:rsid w:val="00FD20F6"/>
    <w:rsid w:val="00FD2301"/>
    <w:rsid w:val="00FD74F5"/>
    <w:rsid w:val="00FE60B4"/>
    <w:rsid w:val="00FE78F6"/>
    <w:rsid w:val="00FE7BF8"/>
    <w:rsid w:val="00FF0AB5"/>
    <w:rsid w:val="00FF40BA"/>
    <w:rsid w:val="00FF568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BEC6DF"/>
  <w15:chartTrackingRefBased/>
  <w15:docId w15:val="{7B63C679-0E02-4793-B972-2C3C8ED504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07C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407C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407C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407C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407C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407C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07C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07C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07C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07C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407C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407C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407C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407C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407C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07C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07C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07CE"/>
    <w:rPr>
      <w:rFonts w:eastAsiaTheme="majorEastAsia" w:cstheme="majorBidi"/>
      <w:color w:val="272727" w:themeColor="text1" w:themeTint="D8"/>
    </w:rPr>
  </w:style>
  <w:style w:type="paragraph" w:styleId="Title">
    <w:name w:val="Title"/>
    <w:basedOn w:val="Normal"/>
    <w:next w:val="Normal"/>
    <w:link w:val="TitleChar"/>
    <w:uiPriority w:val="10"/>
    <w:qFormat/>
    <w:rsid w:val="004407C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07C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07C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07C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07CE"/>
    <w:pPr>
      <w:spacing w:before="160"/>
      <w:jc w:val="center"/>
    </w:pPr>
    <w:rPr>
      <w:i/>
      <w:iCs/>
      <w:color w:val="404040" w:themeColor="text1" w:themeTint="BF"/>
    </w:rPr>
  </w:style>
  <w:style w:type="character" w:customStyle="1" w:styleId="QuoteChar">
    <w:name w:val="Quote Char"/>
    <w:basedOn w:val="DefaultParagraphFont"/>
    <w:link w:val="Quote"/>
    <w:uiPriority w:val="29"/>
    <w:rsid w:val="004407CE"/>
    <w:rPr>
      <w:i/>
      <w:iCs/>
      <w:color w:val="404040" w:themeColor="text1" w:themeTint="BF"/>
    </w:rPr>
  </w:style>
  <w:style w:type="paragraph" w:styleId="ListParagraph">
    <w:name w:val="List Paragraph"/>
    <w:basedOn w:val="Normal"/>
    <w:uiPriority w:val="34"/>
    <w:qFormat/>
    <w:rsid w:val="004407CE"/>
    <w:pPr>
      <w:ind w:left="720"/>
      <w:contextualSpacing/>
    </w:pPr>
  </w:style>
  <w:style w:type="character" w:styleId="IntenseEmphasis">
    <w:name w:val="Intense Emphasis"/>
    <w:basedOn w:val="DefaultParagraphFont"/>
    <w:uiPriority w:val="21"/>
    <w:qFormat/>
    <w:rsid w:val="004407CE"/>
    <w:rPr>
      <w:i/>
      <w:iCs/>
      <w:color w:val="0F4761" w:themeColor="accent1" w:themeShade="BF"/>
    </w:rPr>
  </w:style>
  <w:style w:type="paragraph" w:styleId="IntenseQuote">
    <w:name w:val="Intense Quote"/>
    <w:basedOn w:val="Normal"/>
    <w:next w:val="Normal"/>
    <w:link w:val="IntenseQuoteChar"/>
    <w:uiPriority w:val="30"/>
    <w:qFormat/>
    <w:rsid w:val="004407C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407CE"/>
    <w:rPr>
      <w:i/>
      <w:iCs/>
      <w:color w:val="0F4761" w:themeColor="accent1" w:themeShade="BF"/>
    </w:rPr>
  </w:style>
  <w:style w:type="character" w:styleId="IntenseReference">
    <w:name w:val="Intense Reference"/>
    <w:basedOn w:val="DefaultParagraphFont"/>
    <w:uiPriority w:val="32"/>
    <w:qFormat/>
    <w:rsid w:val="004407CE"/>
    <w:rPr>
      <w:b/>
      <w:bCs/>
      <w:smallCaps/>
      <w:color w:val="0F4761" w:themeColor="accent1" w:themeShade="BF"/>
      <w:spacing w:val="5"/>
    </w:rPr>
  </w:style>
  <w:style w:type="character" w:styleId="Hyperlink">
    <w:name w:val="Hyperlink"/>
    <w:basedOn w:val="DefaultParagraphFont"/>
    <w:uiPriority w:val="99"/>
    <w:unhideWhenUsed/>
    <w:rsid w:val="004407CE"/>
    <w:rPr>
      <w:color w:val="467886" w:themeColor="hyperlink"/>
      <w:u w:val="single"/>
    </w:rPr>
  </w:style>
  <w:style w:type="character" w:styleId="UnresolvedMention">
    <w:name w:val="Unresolved Mention"/>
    <w:basedOn w:val="DefaultParagraphFont"/>
    <w:uiPriority w:val="99"/>
    <w:semiHidden/>
    <w:unhideWhenUsed/>
    <w:rsid w:val="004407CE"/>
    <w:rPr>
      <w:color w:val="605E5C"/>
      <w:shd w:val="clear" w:color="auto" w:fill="E1DFDD"/>
    </w:rPr>
  </w:style>
  <w:style w:type="paragraph" w:styleId="FootnoteText">
    <w:name w:val="footnote text"/>
    <w:basedOn w:val="Normal"/>
    <w:link w:val="FootnoteTextChar"/>
    <w:uiPriority w:val="99"/>
    <w:semiHidden/>
    <w:unhideWhenUsed/>
    <w:rsid w:val="00305D2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05D2E"/>
    <w:rPr>
      <w:sz w:val="20"/>
      <w:szCs w:val="20"/>
    </w:rPr>
  </w:style>
  <w:style w:type="character" w:styleId="FootnoteReference">
    <w:name w:val="footnote reference"/>
    <w:basedOn w:val="DefaultParagraphFont"/>
    <w:uiPriority w:val="99"/>
    <w:semiHidden/>
    <w:unhideWhenUsed/>
    <w:rsid w:val="00305D2E"/>
    <w:rPr>
      <w:vertAlign w:val="superscript"/>
    </w:rPr>
  </w:style>
  <w:style w:type="character" w:styleId="FollowedHyperlink">
    <w:name w:val="FollowedHyperlink"/>
    <w:basedOn w:val="DefaultParagraphFont"/>
    <w:uiPriority w:val="99"/>
    <w:semiHidden/>
    <w:unhideWhenUsed/>
    <w:rsid w:val="00081939"/>
    <w:rPr>
      <w:color w:val="96607D" w:themeColor="followedHyperlink"/>
      <w:u w:val="single"/>
    </w:rPr>
  </w:style>
  <w:style w:type="table" w:styleId="TableGrid">
    <w:name w:val="Table Grid"/>
    <w:basedOn w:val="TableNormal"/>
    <w:uiPriority w:val="39"/>
    <w:rsid w:val="00D456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www.gov.uk/government/publications/overseas-business-risk-palestinian-territories/overseas-business-risk-the-occupied-palestinian-territories" TargetMode="External"/><Relationship Id="rId2" Type="http://schemas.openxmlformats.org/officeDocument/2006/relationships/hyperlink" Target="https://docs.un.org/en/A/HRC/57/L.6" TargetMode="External"/><Relationship Id="rId1" Type="http://schemas.openxmlformats.org/officeDocument/2006/relationships/hyperlink" Target="https://www.peterborough.gov.uk/environment/climate-change" TargetMode="External"/><Relationship Id="rId4" Type="http://schemas.openxmlformats.org/officeDocument/2006/relationships/hyperlink" Target="https://www.amnesty.org/en/wp-content/uploads/2024/12/IOR4088472024ENGLISH.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BDC4DB-8DCF-4AF8-84FE-1D1101B70B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744</Words>
  <Characters>4243</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Peterborough City Council</Company>
  <LinksUpToDate>false</LinksUpToDate>
  <CharactersWithSpaces>4978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Imtiaz Ali</dc:creator>
  <cp:keywords/>
  <dc:description/>
  <cp:lastModifiedBy>Lewis Backon</cp:lastModifiedBy>
  <cp:revision>2</cp:revision>
  <dcterms:created xsi:type="dcterms:W3CDTF">2025-06-20T06:57:00Z</dcterms:created>
  <dcterms:modified xsi:type="dcterms:W3CDTF">2025-06-20T06:57:00Z</dcterms:modified>
</cp:coreProperties>
</file>